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858A1" w14:textId="49E732DF" w:rsidR="007604F2" w:rsidRPr="007604F2" w:rsidRDefault="007604F2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bookmarkEnd w:id="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941D99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88</w:t>
      </w:r>
      <w:r w:rsidR="001944BD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A948B7" w:rsidRPr="00C844BE">
        <w:rPr>
          <w:rFonts w:ascii="Arial" w:hAnsi="Arial" w:cs="Arial"/>
          <w:b/>
          <w:bCs/>
          <w:noProof/>
          <w:sz w:val="24"/>
          <w:szCs w:val="24"/>
        </w:rPr>
        <w:t xml:space="preserve">       </w:t>
      </w:r>
      <w:r w:rsidRPr="00C844BE">
        <w:rPr>
          <w:rFonts w:ascii="Arial" w:hAnsi="Arial" w:cs="Arial"/>
          <w:b/>
          <w:bCs/>
          <w:noProof/>
          <w:sz w:val="24"/>
          <w:szCs w:val="24"/>
        </w:rPr>
        <w:tab/>
      </w:r>
      <w:r w:rsidRPr="007604F2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CD74E1" w:rsidRPr="00C844BE">
        <w:rPr>
          <w:rFonts w:ascii="Arial" w:hAnsi="Arial" w:cs="Arial"/>
          <w:b/>
          <w:bCs/>
          <w:noProof/>
          <w:sz w:val="24"/>
          <w:szCs w:val="24"/>
        </w:rPr>
        <w:t>1705783</w:t>
      </w:r>
    </w:p>
    <w:p w14:paraId="766D1BAF" w14:textId="333F275F" w:rsidR="007604F2" w:rsidRPr="007604F2" w:rsidRDefault="00941D99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Spokane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941D99">
        <w:rPr>
          <w:rFonts w:ascii="Arial" w:hAnsi="Arial" w:cs="Arial"/>
          <w:b/>
          <w:bCs/>
          <w:noProof/>
          <w:sz w:val="24"/>
          <w:szCs w:val="24"/>
        </w:rPr>
        <w:t>3 - 7 Apr 2017</w:t>
      </w:r>
    </w:p>
    <w:p w14:paraId="52CC0AE0" w14:textId="77777777" w:rsidR="007604F2" w:rsidRDefault="007604F2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55A970D0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3" w:name="Title"/>
      <w:bookmarkEnd w:id="3"/>
      <w:r w:rsidRPr="001E25A7">
        <w:rPr>
          <w:sz w:val="22"/>
          <w:szCs w:val="22"/>
          <w:lang w:val="en-US"/>
        </w:rPr>
        <w:tab/>
      </w:r>
      <w:r w:rsidR="00285EC7">
        <w:rPr>
          <w:sz w:val="22"/>
          <w:szCs w:val="22"/>
          <w:lang w:val="en-US"/>
        </w:rPr>
        <w:t>Reducing time-to-transmit for V2X</w:t>
      </w:r>
    </w:p>
    <w:p w14:paraId="35A90F35" w14:textId="45976629" w:rsidR="00005DBD" w:rsidRPr="00C844BE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C844BE">
        <w:rPr>
          <w:sz w:val="22"/>
          <w:szCs w:val="22"/>
          <w:lang w:val="en-US"/>
        </w:rPr>
        <w:t>Agenda Item:</w:t>
      </w:r>
      <w:r w:rsidRPr="00C844BE">
        <w:rPr>
          <w:sz w:val="22"/>
          <w:szCs w:val="22"/>
          <w:lang w:val="en-US"/>
        </w:rPr>
        <w:tab/>
      </w:r>
      <w:r w:rsidR="00CD74E1" w:rsidRPr="00C844BE">
        <w:rPr>
          <w:sz w:val="22"/>
          <w:szCs w:val="22"/>
          <w:lang w:val="en-US"/>
        </w:rPr>
        <w:t>7.2.3.1.2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5F5E4886" w14:textId="517DE326" w:rsidR="00941D99" w:rsidRPr="00941D99" w:rsidRDefault="00C70D8A" w:rsidP="00941D99">
      <w:pPr>
        <w:pStyle w:val="BodyText"/>
        <w:spacing w:after="240"/>
        <w:jc w:val="both"/>
        <w:rPr>
          <w:sz w:val="20"/>
          <w:szCs w:val="20"/>
        </w:rPr>
      </w:pPr>
      <w:r w:rsidRPr="00C70D8A">
        <w:rPr>
          <w:sz w:val="20"/>
          <w:szCs w:val="20"/>
        </w:rPr>
        <w:t xml:space="preserve">RAN </w:t>
      </w:r>
      <w:r w:rsidR="00941D99">
        <w:rPr>
          <w:sz w:val="20"/>
          <w:szCs w:val="20"/>
        </w:rPr>
        <w:t xml:space="preserve">plenary </w:t>
      </w:r>
      <w:r w:rsidRPr="00C70D8A">
        <w:rPr>
          <w:sz w:val="20"/>
          <w:szCs w:val="20"/>
        </w:rPr>
        <w:t>#</w:t>
      </w:r>
      <w:r w:rsidR="00941D99">
        <w:rPr>
          <w:sz w:val="20"/>
          <w:szCs w:val="20"/>
        </w:rPr>
        <w:t>75</w:t>
      </w:r>
      <w:r w:rsidRPr="00C70D8A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>approved a work item</w:t>
      </w:r>
      <w:r w:rsidR="0034705A">
        <w:rPr>
          <w:sz w:val="20"/>
          <w:szCs w:val="20"/>
        </w:rPr>
        <w:t xml:space="preserve"> </w:t>
      </w:r>
      <w:r w:rsidR="0034705A">
        <w:rPr>
          <w:sz w:val="20"/>
          <w:szCs w:val="20"/>
        </w:rPr>
        <w:fldChar w:fldCharType="begin"/>
      </w:r>
      <w:r w:rsidR="0034705A">
        <w:rPr>
          <w:sz w:val="20"/>
          <w:szCs w:val="20"/>
        </w:rPr>
        <w:instrText xml:space="preserve"> REF _Ref477334356 \r \h </w:instrText>
      </w:r>
      <w:r w:rsidR="0034705A">
        <w:rPr>
          <w:sz w:val="20"/>
          <w:szCs w:val="20"/>
        </w:rPr>
      </w:r>
      <w:r w:rsidR="0034705A">
        <w:rPr>
          <w:sz w:val="20"/>
          <w:szCs w:val="20"/>
        </w:rPr>
        <w:fldChar w:fldCharType="separate"/>
      </w:r>
      <w:r w:rsidR="00B237C9">
        <w:rPr>
          <w:sz w:val="20"/>
          <w:szCs w:val="20"/>
        </w:rPr>
        <w:t>[1]</w:t>
      </w:r>
      <w:r w:rsidR="0034705A">
        <w:rPr>
          <w:sz w:val="20"/>
          <w:szCs w:val="20"/>
        </w:rPr>
        <w:fldChar w:fldCharType="end"/>
      </w:r>
      <w:r w:rsidR="00941D99">
        <w:rPr>
          <w:sz w:val="20"/>
          <w:szCs w:val="20"/>
        </w:rPr>
        <w:t xml:space="preserve"> for </w:t>
      </w:r>
      <w:r w:rsidR="00941D99" w:rsidRPr="00941D99">
        <w:rPr>
          <w:rFonts w:hint="eastAsia"/>
          <w:sz w:val="20"/>
          <w:szCs w:val="20"/>
        </w:rPr>
        <w:t>3GPP</w:t>
      </w:r>
      <w:r w:rsidR="00941D99" w:rsidRPr="00941D99">
        <w:rPr>
          <w:sz w:val="20"/>
          <w:szCs w:val="20"/>
        </w:rPr>
        <w:t xml:space="preserve"> V2X Phase 2 to support advanced V2X services</w:t>
      </w:r>
      <w:r w:rsidR="00941D99" w:rsidRPr="00941D99">
        <w:rPr>
          <w:rFonts w:hint="eastAsia"/>
          <w:sz w:val="20"/>
          <w:szCs w:val="20"/>
        </w:rPr>
        <w:t xml:space="preserve"> as identified in SA1 TR 22.886.</w:t>
      </w:r>
      <w:r w:rsidR="00941D99">
        <w:rPr>
          <w:sz w:val="20"/>
          <w:szCs w:val="20"/>
        </w:rPr>
        <w:t xml:space="preserve"> The following topics are part of the </w:t>
      </w:r>
      <w:r w:rsidR="00941D99" w:rsidRPr="00941D99">
        <w:rPr>
          <w:sz w:val="20"/>
          <w:szCs w:val="20"/>
        </w:rPr>
        <w:t xml:space="preserve">detailed objectives </w:t>
      </w:r>
      <w:r w:rsidR="00941D99" w:rsidRPr="00941D99">
        <w:rPr>
          <w:rFonts w:hint="eastAsia"/>
          <w:sz w:val="20"/>
          <w:szCs w:val="20"/>
        </w:rPr>
        <w:t>of this work item</w:t>
      </w:r>
      <w:r w:rsidR="00941D99" w:rsidRPr="00941D99">
        <w:rPr>
          <w:sz w:val="20"/>
          <w:szCs w:val="20"/>
        </w:rPr>
        <w:t>:</w:t>
      </w:r>
    </w:p>
    <w:p w14:paraId="3F111D0A" w14:textId="77777777" w:rsidR="00941D99" w:rsidRPr="00941D99" w:rsidRDefault="00941D99" w:rsidP="00941D99">
      <w:pPr>
        <w:numPr>
          <w:ilvl w:val="0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Specify </w:t>
      </w:r>
      <w:r w:rsidRPr="00941D99">
        <w:rPr>
          <w:i/>
          <w:lang w:eastAsia="zh-CN"/>
        </w:rPr>
        <w:t>solutions</w:t>
      </w:r>
      <w:r w:rsidRPr="00941D99">
        <w:rPr>
          <w:rFonts w:hint="eastAsia"/>
          <w:i/>
          <w:lang w:eastAsia="zh-CN"/>
        </w:rPr>
        <w:t xml:space="preserve"> for the </w:t>
      </w:r>
      <w:r w:rsidRPr="00941D99">
        <w:rPr>
          <w:i/>
          <w:lang w:eastAsia="zh-CN"/>
        </w:rPr>
        <w:t>fo</w:t>
      </w:r>
      <w:r w:rsidRPr="00941D99">
        <w:rPr>
          <w:rFonts w:hint="eastAsia"/>
          <w:i/>
          <w:lang w:eastAsia="zh-CN"/>
        </w:rPr>
        <w:t xml:space="preserve">llowing </w:t>
      </w:r>
      <w:r w:rsidRPr="00941D99">
        <w:rPr>
          <w:i/>
          <w:lang w:eastAsia="zh-CN"/>
        </w:rPr>
        <w:t>PC5 functionalit</w:t>
      </w:r>
      <w:r w:rsidRPr="00941D99">
        <w:rPr>
          <w:rFonts w:hint="eastAsia"/>
          <w:i/>
          <w:lang w:eastAsia="zh-CN"/>
        </w:rPr>
        <w:t>ies,</w:t>
      </w:r>
      <w:r w:rsidRPr="00941D99">
        <w:rPr>
          <w:i/>
          <w:lang w:eastAsia="zh-CN"/>
        </w:rPr>
        <w:t xml:space="preserve"> which can co-exist in the same resource pools as Rel-14 functionality and use the same scheduling assignment format</w:t>
      </w:r>
      <w:r w:rsidRPr="00941D99">
        <w:rPr>
          <w:rFonts w:hint="eastAsia"/>
          <w:i/>
          <w:lang w:eastAsia="zh-CN"/>
        </w:rPr>
        <w:t xml:space="preserve"> (</w:t>
      </w:r>
      <w:r w:rsidRPr="00941D99">
        <w:rPr>
          <w:i/>
        </w:rPr>
        <w:t>which can be decoded by Rel-14 UEs</w:t>
      </w:r>
      <w:r w:rsidRPr="00941D99">
        <w:rPr>
          <w:rFonts w:hint="eastAsia"/>
          <w:i/>
          <w:lang w:eastAsia="zh-CN"/>
        </w:rPr>
        <w:t>)</w:t>
      </w:r>
      <w:r w:rsidRPr="00941D99">
        <w:rPr>
          <w:i/>
          <w:lang w:eastAsia="zh-CN"/>
        </w:rPr>
        <w:t>, without causing significant degradation to Rel-14 PC5 operation</w:t>
      </w:r>
      <w:r w:rsidRPr="00941D99">
        <w:rPr>
          <w:rFonts w:hint="eastAsia"/>
          <w:i/>
          <w:lang w:eastAsia="zh-CN"/>
        </w:rPr>
        <w:t xml:space="preserve"> compared to that of Rel-14 UEs: [</w:t>
      </w:r>
      <w:r w:rsidRPr="00941D99">
        <w:rPr>
          <w:i/>
          <w:lang w:eastAsia="zh-CN"/>
        </w:rPr>
        <w:t>RAN</w:t>
      </w:r>
      <w:r w:rsidRPr="00941D99">
        <w:rPr>
          <w:rFonts w:hint="eastAsia"/>
          <w:i/>
          <w:lang w:eastAsia="zh-CN"/>
        </w:rPr>
        <w:t>1</w:t>
      </w:r>
      <w:r w:rsidRPr="00941D99">
        <w:rPr>
          <w:i/>
          <w:lang w:eastAsia="zh-CN"/>
        </w:rPr>
        <w:t>, RAN</w:t>
      </w:r>
      <w:r w:rsidRPr="00941D99">
        <w:rPr>
          <w:rFonts w:hint="eastAsia"/>
          <w:i/>
          <w:lang w:eastAsia="zh-CN"/>
        </w:rPr>
        <w:t>2</w:t>
      </w:r>
      <w:r w:rsidRPr="00941D99">
        <w:rPr>
          <w:i/>
          <w:lang w:eastAsia="zh-CN"/>
        </w:rPr>
        <w:t xml:space="preserve">, </w:t>
      </w:r>
      <w:r w:rsidRPr="00941D99">
        <w:rPr>
          <w:rFonts w:hint="eastAsia"/>
          <w:i/>
          <w:lang w:eastAsia="zh-CN"/>
        </w:rPr>
        <w:t>RAN4]</w:t>
      </w:r>
    </w:p>
    <w:p w14:paraId="0E93D2BE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Carrier </w:t>
      </w:r>
      <w:r w:rsidRPr="00941D99">
        <w:rPr>
          <w:i/>
          <w:lang w:eastAsia="zh-CN"/>
        </w:rPr>
        <w:t>aggregation</w:t>
      </w:r>
      <w:r w:rsidRPr="00941D99">
        <w:rPr>
          <w:rFonts w:hint="eastAsia"/>
          <w:i/>
          <w:lang w:eastAsia="zh-CN"/>
        </w:rPr>
        <w:t xml:space="preserve"> (up to 8 PC5 carriers);</w:t>
      </w:r>
    </w:p>
    <w:p w14:paraId="580868C9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64QAM;</w:t>
      </w:r>
    </w:p>
    <w:p w14:paraId="55A8D5D6" w14:textId="7ADE36FE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R</w:t>
      </w:r>
      <w:r w:rsidRPr="00941D99">
        <w:rPr>
          <w:i/>
          <w:lang w:eastAsia="zh-CN"/>
        </w:rPr>
        <w:t xml:space="preserve">educe </w:t>
      </w:r>
      <w:r w:rsidRPr="00941D99">
        <w:rPr>
          <w:rFonts w:hint="eastAsia"/>
          <w:i/>
          <w:lang w:eastAsia="zh-CN"/>
        </w:rPr>
        <w:t xml:space="preserve">the </w:t>
      </w:r>
      <w:r w:rsidRPr="00941D99">
        <w:rPr>
          <w:i/>
          <w:lang w:eastAsia="zh-CN"/>
        </w:rPr>
        <w:t>maximum time between packet arrival at Layer 1 and resource selected for transmission</w:t>
      </w:r>
      <w:r w:rsidRPr="00941D99">
        <w:rPr>
          <w:rFonts w:hint="eastAsia"/>
          <w:i/>
          <w:lang w:eastAsia="zh-CN"/>
        </w:rPr>
        <w:t>;</w:t>
      </w:r>
    </w:p>
    <w:p w14:paraId="07B85CF5" w14:textId="40B05F30" w:rsidR="00E825C0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spacing w:after="0"/>
        <w:jc w:val="both"/>
        <w:rPr>
          <w:rFonts w:eastAsia="MS Mincho"/>
          <w:i/>
          <w:lang w:eastAsia="ja-JP"/>
        </w:rPr>
      </w:pPr>
      <w:r w:rsidRPr="00941D99">
        <w:rPr>
          <w:i/>
          <w:lang w:eastAsia="zh-CN"/>
        </w:rPr>
        <w:t>R</w:t>
      </w:r>
      <w:r w:rsidRPr="00941D99">
        <w:rPr>
          <w:rFonts w:hint="eastAsia"/>
          <w:i/>
          <w:lang w:eastAsia="zh-CN"/>
        </w:rPr>
        <w:t xml:space="preserve">adio resource pool sharing </w:t>
      </w:r>
      <w:r w:rsidRPr="00941D99">
        <w:rPr>
          <w:i/>
          <w:lang w:eastAsia="zh-CN"/>
        </w:rPr>
        <w:t>between UEs using mode 3 and UEs using mode 4</w:t>
      </w:r>
      <w:r w:rsidRPr="00941D99">
        <w:rPr>
          <w:rFonts w:hint="eastAsia"/>
          <w:i/>
          <w:lang w:eastAsia="zh-CN"/>
        </w:rPr>
        <w:t>;</w:t>
      </w:r>
    </w:p>
    <w:p w14:paraId="0C00572A" w14:textId="094F8E09" w:rsidR="00DF3FAA" w:rsidRDefault="00B115CA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3810E1">
        <w:rPr>
          <w:sz w:val="20"/>
          <w:szCs w:val="20"/>
        </w:rPr>
        <w:t xml:space="preserve">In this </w:t>
      </w:r>
      <w:r w:rsidR="00C70D8A">
        <w:rPr>
          <w:sz w:val="20"/>
          <w:szCs w:val="20"/>
        </w:rPr>
        <w:t xml:space="preserve">contribution </w:t>
      </w:r>
      <w:r w:rsidRPr="003810E1">
        <w:rPr>
          <w:sz w:val="20"/>
          <w:szCs w:val="20"/>
        </w:rPr>
        <w:t xml:space="preserve">we discuss </w:t>
      </w:r>
      <w:r w:rsidR="00941D99">
        <w:rPr>
          <w:sz w:val="20"/>
          <w:szCs w:val="20"/>
        </w:rPr>
        <w:t xml:space="preserve">item </w:t>
      </w:r>
      <w:r w:rsidR="00285EC7">
        <w:rPr>
          <w:sz w:val="20"/>
          <w:szCs w:val="20"/>
        </w:rPr>
        <w:t>c</w:t>
      </w:r>
      <w:r w:rsidR="00941D99">
        <w:rPr>
          <w:sz w:val="20"/>
          <w:szCs w:val="20"/>
        </w:rPr>
        <w:t>)</w:t>
      </w:r>
      <w:r w:rsidRPr="003810E1">
        <w:rPr>
          <w:sz w:val="20"/>
          <w:szCs w:val="20"/>
        </w:rPr>
        <w:t>.</w:t>
      </w:r>
      <w:r w:rsidR="00941D99">
        <w:rPr>
          <w:sz w:val="20"/>
          <w:szCs w:val="20"/>
        </w:rPr>
        <w:t xml:space="preserve"> In companion papers</w:t>
      </w:r>
      <w:r w:rsidR="00B237C9">
        <w:rPr>
          <w:sz w:val="20"/>
          <w:szCs w:val="20"/>
        </w:rPr>
        <w:t xml:space="preserve"> </w:t>
      </w:r>
      <w:r w:rsidR="00B237C9">
        <w:rPr>
          <w:sz w:val="20"/>
          <w:szCs w:val="20"/>
        </w:rPr>
        <w:fldChar w:fldCharType="begin"/>
      </w:r>
      <w:r w:rsidR="00B237C9">
        <w:rPr>
          <w:sz w:val="20"/>
          <w:szCs w:val="20"/>
        </w:rPr>
        <w:instrText xml:space="preserve"> REF _Ref477897189 \r \h </w:instrText>
      </w:r>
      <w:r w:rsidR="00B237C9">
        <w:rPr>
          <w:sz w:val="20"/>
          <w:szCs w:val="20"/>
        </w:rPr>
      </w:r>
      <w:r w:rsidR="00B237C9">
        <w:rPr>
          <w:sz w:val="20"/>
          <w:szCs w:val="20"/>
        </w:rPr>
        <w:fldChar w:fldCharType="separate"/>
      </w:r>
      <w:r w:rsidR="00B237C9">
        <w:rPr>
          <w:sz w:val="20"/>
          <w:szCs w:val="20"/>
        </w:rPr>
        <w:t>[2]</w:t>
      </w:r>
      <w:r w:rsidR="00B237C9">
        <w:rPr>
          <w:sz w:val="20"/>
          <w:szCs w:val="20"/>
        </w:rPr>
        <w:fldChar w:fldCharType="end"/>
      </w:r>
      <w:r w:rsidR="00941D99">
        <w:rPr>
          <w:sz w:val="20"/>
          <w:szCs w:val="20"/>
        </w:rPr>
        <w:t xml:space="preserve">, </w:t>
      </w:r>
      <w:r w:rsidR="00B237C9">
        <w:rPr>
          <w:sz w:val="20"/>
          <w:szCs w:val="20"/>
        </w:rPr>
        <w:fldChar w:fldCharType="begin"/>
      </w:r>
      <w:r w:rsidR="00B237C9">
        <w:rPr>
          <w:sz w:val="20"/>
          <w:szCs w:val="20"/>
        </w:rPr>
        <w:instrText xml:space="preserve"> REF _Ref477897195 \r \h </w:instrText>
      </w:r>
      <w:r w:rsidR="00B237C9">
        <w:rPr>
          <w:sz w:val="20"/>
          <w:szCs w:val="20"/>
        </w:rPr>
      </w:r>
      <w:r w:rsidR="00B237C9">
        <w:rPr>
          <w:sz w:val="20"/>
          <w:szCs w:val="20"/>
        </w:rPr>
        <w:fldChar w:fldCharType="separate"/>
      </w:r>
      <w:r w:rsidR="00B237C9">
        <w:rPr>
          <w:sz w:val="20"/>
          <w:szCs w:val="20"/>
        </w:rPr>
        <w:t>[3]</w:t>
      </w:r>
      <w:r w:rsidR="00B237C9">
        <w:rPr>
          <w:sz w:val="20"/>
          <w:szCs w:val="20"/>
        </w:rPr>
        <w:fldChar w:fldCharType="end"/>
      </w:r>
      <w:r w:rsidR="00941D99">
        <w:rPr>
          <w:sz w:val="20"/>
          <w:szCs w:val="20"/>
        </w:rPr>
        <w:t>,</w:t>
      </w:r>
      <w:r w:rsidR="00B237C9">
        <w:rPr>
          <w:sz w:val="20"/>
          <w:szCs w:val="20"/>
        </w:rPr>
        <w:t xml:space="preserve"> </w:t>
      </w:r>
      <w:r w:rsidR="00B237C9">
        <w:rPr>
          <w:sz w:val="20"/>
          <w:szCs w:val="20"/>
        </w:rPr>
        <w:fldChar w:fldCharType="begin"/>
      </w:r>
      <w:r w:rsidR="00B237C9">
        <w:rPr>
          <w:sz w:val="20"/>
          <w:szCs w:val="20"/>
        </w:rPr>
        <w:instrText xml:space="preserve"> REF _Ref477897203 \r \h </w:instrText>
      </w:r>
      <w:r w:rsidR="00B237C9">
        <w:rPr>
          <w:sz w:val="20"/>
          <w:szCs w:val="20"/>
        </w:rPr>
      </w:r>
      <w:r w:rsidR="00B237C9">
        <w:rPr>
          <w:sz w:val="20"/>
          <w:szCs w:val="20"/>
        </w:rPr>
        <w:fldChar w:fldCharType="separate"/>
      </w:r>
      <w:r w:rsidR="00B237C9">
        <w:rPr>
          <w:sz w:val="20"/>
          <w:szCs w:val="20"/>
        </w:rPr>
        <w:t>[4]</w:t>
      </w:r>
      <w:r w:rsidR="00B237C9">
        <w:rPr>
          <w:sz w:val="20"/>
          <w:szCs w:val="20"/>
        </w:rPr>
        <w:fldChar w:fldCharType="end"/>
      </w:r>
      <w:r w:rsidR="00B237C9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 xml:space="preserve">we discuss a), b), </w:t>
      </w:r>
      <w:r w:rsidR="00285EC7">
        <w:rPr>
          <w:sz w:val="20"/>
          <w:szCs w:val="20"/>
        </w:rPr>
        <w:t>d</w:t>
      </w:r>
      <w:r w:rsidR="00941D99">
        <w:rPr>
          <w:sz w:val="20"/>
          <w:szCs w:val="20"/>
        </w:rPr>
        <w:t>), respectively.</w:t>
      </w:r>
    </w:p>
    <w:p w14:paraId="79877840" w14:textId="6D1BD6B6" w:rsidR="001C33A7" w:rsidRDefault="0018104A" w:rsidP="001C33A7">
      <w:pPr>
        <w:pStyle w:val="Heading1"/>
      </w:pPr>
      <w:r>
        <w:t xml:space="preserve">Time-to-transmit in </w:t>
      </w:r>
      <w:r w:rsidR="00890AF1">
        <w:t>Sidelink Mode 4</w:t>
      </w:r>
    </w:p>
    <w:p w14:paraId="223CE5CD" w14:textId="4C089628" w:rsidR="00C82828" w:rsidRDefault="00806946" w:rsidP="0018104A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Rel-14 V2X, the procedure to determine the transmit </w:t>
      </w:r>
      <w:r w:rsidR="00975DB8">
        <w:rPr>
          <w:sz w:val="20"/>
          <w:szCs w:val="20"/>
          <w:lang w:val="en-GB"/>
        </w:rPr>
        <w:t>resources</w:t>
      </w:r>
      <w:r>
        <w:rPr>
          <w:sz w:val="20"/>
          <w:szCs w:val="20"/>
          <w:lang w:val="en-GB"/>
        </w:rPr>
        <w:t xml:space="preserve"> for PSSCH </w:t>
      </w:r>
      <w:r w:rsidR="00890AF1">
        <w:rPr>
          <w:sz w:val="20"/>
          <w:szCs w:val="20"/>
          <w:lang w:val="en-GB"/>
        </w:rPr>
        <w:t xml:space="preserve">in Mode 4 </w:t>
      </w:r>
      <w:r>
        <w:rPr>
          <w:sz w:val="20"/>
          <w:szCs w:val="20"/>
          <w:lang w:val="en-GB"/>
        </w:rPr>
        <w:t>is as follows</w:t>
      </w:r>
      <w:r w:rsidR="0034705A">
        <w:rPr>
          <w:sz w:val="20"/>
          <w:szCs w:val="20"/>
          <w:lang w:val="en-GB"/>
        </w:rPr>
        <w:t xml:space="preserve"> </w:t>
      </w:r>
      <w:r w:rsidR="0034705A">
        <w:rPr>
          <w:sz w:val="20"/>
          <w:szCs w:val="20"/>
          <w:lang w:val="en-GB"/>
        </w:rPr>
        <w:fldChar w:fldCharType="begin"/>
      </w:r>
      <w:r w:rsidR="0034705A">
        <w:rPr>
          <w:sz w:val="20"/>
          <w:szCs w:val="20"/>
          <w:lang w:val="en-GB"/>
        </w:rPr>
        <w:instrText xml:space="preserve"> REF _Ref477334379 \r \h </w:instrText>
      </w:r>
      <w:r w:rsidR="0034705A">
        <w:rPr>
          <w:sz w:val="20"/>
          <w:szCs w:val="20"/>
          <w:lang w:val="en-GB"/>
        </w:rPr>
      </w:r>
      <w:r w:rsidR="0034705A">
        <w:rPr>
          <w:sz w:val="20"/>
          <w:szCs w:val="20"/>
          <w:lang w:val="en-GB"/>
        </w:rPr>
        <w:fldChar w:fldCharType="separate"/>
      </w:r>
      <w:r w:rsidR="00B237C9">
        <w:rPr>
          <w:sz w:val="20"/>
          <w:szCs w:val="20"/>
          <w:lang w:val="en-GB"/>
        </w:rPr>
        <w:t>[5]</w:t>
      </w:r>
      <w:r w:rsidR="0034705A">
        <w:rPr>
          <w:sz w:val="20"/>
          <w:szCs w:val="20"/>
          <w:lang w:val="en-GB"/>
        </w:rPr>
        <w:fldChar w:fldCharType="end"/>
      </w:r>
      <w:r>
        <w:rPr>
          <w:sz w:val="20"/>
          <w:szCs w:val="20"/>
          <w:lang w:val="en-GB"/>
        </w:rPr>
        <w:t>:</w:t>
      </w:r>
    </w:p>
    <w:p w14:paraId="1D49045D" w14:textId="17D7F402" w:rsidR="00806946" w:rsidRPr="00975DB8" w:rsidRDefault="00806946" w:rsidP="0034705A">
      <w:pPr>
        <w:pStyle w:val="BodyText"/>
        <w:spacing w:after="240"/>
        <w:ind w:left="284"/>
        <w:jc w:val="both"/>
        <w:rPr>
          <w:rFonts w:eastAsia="Malgun Gothic"/>
          <w:i/>
          <w:sz w:val="20"/>
          <w:szCs w:val="20"/>
          <w:lang w:eastAsia="ko-KR"/>
        </w:rPr>
      </w:pPr>
      <w:r w:rsidRPr="00975DB8">
        <w:rPr>
          <w:rFonts w:ascii="Arial" w:hAnsi="Arial"/>
          <w:i/>
          <w:sz w:val="20"/>
          <w:szCs w:val="20"/>
        </w:rPr>
        <w:t>14.1.1.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>6</w:t>
      </w:r>
      <w:r w:rsidRPr="00975DB8">
        <w:rPr>
          <w:rFonts w:ascii="Arial" w:hAnsi="Arial"/>
          <w:i/>
          <w:sz w:val="20"/>
          <w:szCs w:val="20"/>
        </w:rPr>
        <w:tab/>
        <w:t xml:space="preserve">UE procedure for 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>determining the subset of resources</w:t>
      </w:r>
      <w:r w:rsidRPr="00975DB8">
        <w:rPr>
          <w:rFonts w:ascii="Arial" w:eastAsia="Malgun Gothic" w:hAnsi="Arial"/>
          <w:i/>
          <w:sz w:val="20"/>
          <w:szCs w:val="20"/>
          <w:lang w:eastAsia="ko-KR"/>
        </w:rPr>
        <w:t xml:space="preserve"> to be reported to higher layers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 xml:space="preserve"> in </w:t>
      </w:r>
      <w:r w:rsidRPr="00975DB8">
        <w:rPr>
          <w:rFonts w:ascii="Arial" w:hAnsi="Arial"/>
          <w:i/>
          <w:sz w:val="20"/>
          <w:szCs w:val="20"/>
        </w:rPr>
        <w:t xml:space="preserve">PSSCH </w:t>
      </w:r>
      <w:r w:rsidRPr="00975DB8">
        <w:rPr>
          <w:rFonts w:ascii="Arial" w:eastAsia="Malgun Gothic" w:hAnsi="Arial" w:hint="eastAsia"/>
          <w:i/>
          <w:sz w:val="20"/>
          <w:szCs w:val="20"/>
          <w:lang w:eastAsia="ko-KR"/>
        </w:rPr>
        <w:t>resource selection in sidelink transmission mode 4</w:t>
      </w:r>
    </w:p>
    <w:p w14:paraId="5327E0E4" w14:textId="77777777" w:rsidR="005F49F9" w:rsidRPr="00975DB8" w:rsidRDefault="005F49F9" w:rsidP="0034705A">
      <w:pPr>
        <w:pStyle w:val="BodyText"/>
        <w:spacing w:after="240"/>
        <w:ind w:left="284"/>
        <w:jc w:val="both"/>
        <w:rPr>
          <w:rFonts w:eastAsia="Malgun Gothic"/>
          <w:i/>
          <w:sz w:val="20"/>
          <w:szCs w:val="20"/>
          <w:lang w:eastAsia="ko-KR"/>
        </w:rPr>
      </w:pPr>
      <w:r w:rsidRPr="00975DB8">
        <w:rPr>
          <w:rFonts w:eastAsia="Malgun Gothic"/>
          <w:i/>
          <w:sz w:val="20"/>
          <w:szCs w:val="20"/>
          <w:lang w:eastAsia="ko-KR"/>
        </w:rPr>
        <w:t>If partial sensing is not configured by higher layers then t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he </w:t>
      </w:r>
      <w:r w:rsidRPr="00975DB8">
        <w:rPr>
          <w:rFonts w:eastAsia="Malgun Gothic"/>
          <w:i/>
          <w:sz w:val="20"/>
          <w:szCs w:val="20"/>
          <w:lang w:eastAsia="ko-KR"/>
        </w:rPr>
        <w:t>following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steps are used:</w:t>
      </w:r>
    </w:p>
    <w:p w14:paraId="02472F38" w14:textId="20E8B551" w:rsidR="00806946" w:rsidRPr="00975DB8" w:rsidRDefault="00806946" w:rsidP="0034705A">
      <w:pPr>
        <w:pStyle w:val="BodyText"/>
        <w:spacing w:after="240"/>
        <w:ind w:left="284" w:firstLine="284"/>
        <w:jc w:val="both"/>
        <w:rPr>
          <w:i/>
          <w:sz w:val="20"/>
          <w:szCs w:val="20"/>
        </w:rPr>
      </w:pP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A candidate single-subframe resource for PSSCH transmission </w:t>
      </w:r>
      <w:r w:rsidR="00B53D22">
        <w:rPr>
          <w:i/>
          <w:position w:val="-14"/>
          <w:sz w:val="20"/>
          <w:szCs w:val="20"/>
        </w:rPr>
        <w:pict w14:anchorId="7FEB2A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75pt;height:19pt">
            <v:imagedata r:id="rId7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is defined as a set of </w:t>
      </w:r>
      <w:r w:rsidR="00B53D22">
        <w:rPr>
          <w:i/>
          <w:position w:val="-12"/>
          <w:sz w:val="20"/>
          <w:szCs w:val="20"/>
        </w:rPr>
        <w:pict w14:anchorId="7BBCAD20">
          <v:shape id="_x0000_i1026" type="#_x0000_t75" style="width:29.95pt;height:17.85pt">
            <v:imagedata r:id="rId8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contiguous sub-channels with sub-channel x+j in subframe </w:t>
      </w:r>
      <w:r w:rsidR="00B53D22">
        <w:rPr>
          <w:i/>
          <w:position w:val="-14"/>
          <w:sz w:val="20"/>
          <w:szCs w:val="20"/>
        </w:rPr>
        <w:pict w14:anchorId="104A93BF">
          <v:shape id="_x0000_i1027" type="#_x0000_t75" style="width:15.55pt;height:20.15pt">
            <v:imagedata r:id="rId9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where </w:t>
      </w:r>
      <w:r w:rsidR="00B53D22">
        <w:rPr>
          <w:i/>
          <w:position w:val="-12"/>
          <w:sz w:val="20"/>
          <w:szCs w:val="20"/>
        </w:rPr>
        <w:pict w14:anchorId="1812C840">
          <v:shape id="_x0000_i1028" type="#_x0000_t75" style="width:87pt;height:17.85pt">
            <v:imagedata r:id="rId10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. The UE shall assume that any set of </w:t>
      </w:r>
      <w:r w:rsidR="00B53D22">
        <w:rPr>
          <w:i/>
          <w:position w:val="-12"/>
          <w:sz w:val="20"/>
          <w:szCs w:val="20"/>
        </w:rPr>
        <w:pict w14:anchorId="23990C21">
          <v:shape id="_x0000_i1029" type="#_x0000_t75" style="width:29.95pt;height:17.85pt">
            <v:imagedata r:id="rId11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contiguous sub-channels included in the corresponding PSSCH resource pool (described in 14.1.5) within the time interval </w:t>
      </w:r>
      <w:r w:rsidR="00B53D22">
        <w:rPr>
          <w:i/>
          <w:position w:val="-10"/>
          <w:sz w:val="20"/>
          <w:szCs w:val="20"/>
        </w:rPr>
        <w:pict w14:anchorId="41730F67">
          <v:shape id="_x0000_i1030" type="#_x0000_t75" style="width:69.1pt;height:17.3pt">
            <v:imagedata r:id="rId12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corresponds to one candidate single-subframe resource, where </w:t>
      </w:r>
      <w:r w:rsidRPr="00975DB8">
        <w:rPr>
          <w:rFonts w:eastAsia="Malgun Gothic"/>
          <w:i/>
          <w:sz w:val="20"/>
          <w:szCs w:val="20"/>
          <w:lang w:eastAsia="ko-KR"/>
        </w:rPr>
        <w:t>selection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s of </w:t>
      </w:r>
      <w:r w:rsidR="00B53D22">
        <w:rPr>
          <w:i/>
          <w:position w:val="-10"/>
          <w:sz w:val="20"/>
          <w:szCs w:val="20"/>
        </w:rPr>
        <w:pict w14:anchorId="7622ABD8">
          <v:shape id="_x0000_i1031" type="#_x0000_t75" style="width:12.1pt;height:17.3pt">
            <v:imagedata r:id="rId13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and </w:t>
      </w:r>
      <w:r w:rsidR="00B53D22">
        <w:rPr>
          <w:i/>
          <w:position w:val="-10"/>
          <w:sz w:val="20"/>
          <w:szCs w:val="20"/>
        </w:rPr>
        <w:pict w14:anchorId="2B277DF9">
          <v:shape id="_x0000_i1032" type="#_x0000_t75" style="width:12.65pt;height:17.3pt">
            <v:imagedata r:id="rId14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are up to UE implementations under </w:t>
      </w:r>
      <w:r w:rsidR="00B53D22">
        <w:rPr>
          <w:i/>
          <w:position w:val="-12"/>
          <w:sz w:val="20"/>
          <w:szCs w:val="20"/>
        </w:rPr>
        <w:pict w14:anchorId="251880B7">
          <v:shape id="_x0000_i1033" type="#_x0000_t75" style="width:30.55pt;height:17.85pt">
            <v:imagedata r:id="rId15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and </w:t>
      </w:r>
      <w:r w:rsidR="00B53D22">
        <w:rPr>
          <w:i/>
          <w:position w:val="-10"/>
          <w:sz w:val="20"/>
          <w:szCs w:val="20"/>
        </w:rPr>
        <w:pict w14:anchorId="380EBC5B">
          <v:shape id="_x0000_i1034" type="#_x0000_t75" style="width:66.25pt;height:17.3pt">
            <v:imagedata r:id="rId16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. UE selection of </w:t>
      </w:r>
      <w:r w:rsidR="00B53D22">
        <w:rPr>
          <w:i/>
          <w:position w:val="-10"/>
          <w:sz w:val="20"/>
          <w:szCs w:val="20"/>
        </w:rPr>
        <w:pict w14:anchorId="285CBAAA">
          <v:shape id="_x0000_i1035" type="#_x0000_t75" style="width:12.65pt;height:17.3pt">
            <v:imagedata r:id="rId17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shall </w:t>
      </w:r>
      <w:r w:rsidRPr="00975DB8">
        <w:rPr>
          <w:rFonts w:eastAsia="Malgun Gothic"/>
          <w:i/>
          <w:sz w:val="20"/>
          <w:szCs w:val="20"/>
          <w:lang w:eastAsia="ko-KR"/>
        </w:rPr>
        <w:t>fulfil the latency requirement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. The total number of the candidate single-subframe </w:t>
      </w:r>
      <w:r w:rsidRPr="00975DB8">
        <w:rPr>
          <w:rFonts w:eastAsia="Malgun Gothic"/>
          <w:i/>
          <w:sz w:val="20"/>
          <w:szCs w:val="20"/>
          <w:lang w:eastAsia="ko-KR"/>
        </w:rPr>
        <w:t>resource</w:t>
      </w:r>
      <w:r w:rsidRPr="00975DB8">
        <w:rPr>
          <w:rFonts w:eastAsia="Malgun Gothic" w:hint="eastAsia"/>
          <w:i/>
          <w:sz w:val="20"/>
          <w:szCs w:val="20"/>
          <w:lang w:eastAsia="ko-KR"/>
        </w:rPr>
        <w:t>s is denoted by</w:t>
      </w:r>
      <w:r w:rsidR="00B53D22">
        <w:rPr>
          <w:i/>
          <w:position w:val="-12"/>
          <w:sz w:val="20"/>
          <w:szCs w:val="20"/>
        </w:rPr>
        <w:pict w14:anchorId="0871C9CD">
          <v:shape id="_x0000_i1036" type="#_x0000_t75" style="width:28.2pt;height:17.85pt">
            <v:imagedata r:id="rId18" o:title=""/>
          </v:shape>
        </w:pict>
      </w:r>
      <w:r w:rsidRPr="00975DB8">
        <w:rPr>
          <w:rFonts w:eastAsia="Malgun Gothic" w:hint="eastAsia"/>
          <w:i/>
          <w:sz w:val="20"/>
          <w:szCs w:val="20"/>
          <w:lang w:eastAsia="ko-KR"/>
        </w:rPr>
        <w:t>.</w:t>
      </w:r>
    </w:p>
    <w:p w14:paraId="4E0E7756" w14:textId="4C41F6ED" w:rsidR="00890AF1" w:rsidRDefault="00890AF1" w:rsidP="00890AF1">
      <w:pPr>
        <w:pStyle w:val="BodyText"/>
        <w:spacing w:before="240" w:after="240"/>
        <w:ind w:firstLine="284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(</w:t>
      </w:r>
      <w:r w:rsidR="00975DB8">
        <w:rPr>
          <w:sz w:val="20"/>
          <w:szCs w:val="20"/>
          <w:lang w:val="en-GB"/>
        </w:rPr>
        <w:t>A similar procedure is applied for partial sensing.</w:t>
      </w:r>
      <w:r>
        <w:rPr>
          <w:sz w:val="20"/>
          <w:szCs w:val="20"/>
          <w:lang w:val="en-GB"/>
        </w:rPr>
        <w:t>)</w:t>
      </w:r>
    </w:p>
    <w:p w14:paraId="3737BD99" w14:textId="320EDA35" w:rsidR="0018104A" w:rsidRPr="00892AD5" w:rsidRDefault="00975DB8" w:rsidP="003519F6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According to the above procedure, </w:t>
      </w:r>
      <w:r w:rsidR="00E22640">
        <w:rPr>
          <w:sz w:val="20"/>
          <w:szCs w:val="20"/>
          <w:lang w:val="en-GB"/>
        </w:rPr>
        <w:t>a</w:t>
      </w:r>
      <w:r>
        <w:rPr>
          <w:sz w:val="20"/>
          <w:szCs w:val="20"/>
          <w:lang w:val="en-GB"/>
        </w:rPr>
        <w:t xml:space="preserve"> UE </w:t>
      </w:r>
      <w:r w:rsidR="00E22640">
        <w:rPr>
          <w:sz w:val="20"/>
          <w:szCs w:val="20"/>
          <w:lang w:val="en-GB"/>
        </w:rPr>
        <w:t>receiving</w:t>
      </w:r>
      <w:r>
        <w:rPr>
          <w:sz w:val="20"/>
          <w:szCs w:val="20"/>
          <w:lang w:val="en-GB"/>
        </w:rPr>
        <w:t xml:space="preserve"> a packet at subframe </w:t>
      </w:r>
      <w:r w:rsidR="0034705A" w:rsidRPr="00E22640">
        <w:rPr>
          <w:i/>
          <w:sz w:val="20"/>
          <w:szCs w:val="20"/>
          <w:lang w:val="en-GB"/>
        </w:rPr>
        <w:t>n</w:t>
      </w:r>
      <w:r w:rsidR="0034705A">
        <w:rPr>
          <w:sz w:val="20"/>
          <w:szCs w:val="20"/>
          <w:lang w:val="en-GB"/>
        </w:rPr>
        <w:t xml:space="preserve"> </w:t>
      </w:r>
      <w:r w:rsidR="00E22640">
        <w:rPr>
          <w:sz w:val="20"/>
          <w:szCs w:val="20"/>
          <w:lang w:val="en-GB"/>
        </w:rPr>
        <w:t xml:space="preserve">at the physical layer </w:t>
      </w:r>
      <w:r>
        <w:rPr>
          <w:sz w:val="20"/>
          <w:szCs w:val="20"/>
          <w:lang w:val="en-GB"/>
        </w:rPr>
        <w:t xml:space="preserve">will search for a resource in the interval </w:t>
      </w:r>
      <w:r w:rsidRPr="00975DB8">
        <w:rPr>
          <w:i/>
          <w:noProof/>
          <w:position w:val="-10"/>
          <w:sz w:val="20"/>
          <w:szCs w:val="20"/>
        </w:rPr>
        <w:drawing>
          <wp:inline distT="0" distB="0" distL="0" distR="0" wp14:anchorId="6A361AE2" wp14:editId="6E7E1B3D">
            <wp:extent cx="876300" cy="2222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  <w:lang w:val="en-GB"/>
        </w:rPr>
        <w:t xml:space="preserve">with </w:t>
      </w:r>
      <w:r w:rsidRPr="00975DB8">
        <w:rPr>
          <w:i/>
          <w:noProof/>
          <w:position w:val="-12"/>
          <w:sz w:val="20"/>
          <w:szCs w:val="20"/>
        </w:rPr>
        <w:drawing>
          <wp:inline distT="0" distB="0" distL="0" distR="0" wp14:anchorId="7853AC4B" wp14:editId="7960C2B0">
            <wp:extent cx="393700" cy="2286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DB8">
        <w:rPr>
          <w:rFonts w:eastAsia="Malgun Gothic" w:hint="eastAsia"/>
          <w:i/>
          <w:sz w:val="20"/>
          <w:szCs w:val="20"/>
          <w:lang w:eastAsia="ko-KR"/>
        </w:rPr>
        <w:t xml:space="preserve"> and </w:t>
      </w:r>
      <w:r w:rsidRPr="00975DB8">
        <w:rPr>
          <w:i/>
          <w:noProof/>
          <w:position w:val="-10"/>
          <w:sz w:val="20"/>
          <w:szCs w:val="20"/>
        </w:rPr>
        <w:drawing>
          <wp:inline distT="0" distB="0" distL="0" distR="0" wp14:anchorId="3D05BF5E" wp14:editId="33D36CD1">
            <wp:extent cx="838200" cy="2222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705A">
        <w:rPr>
          <w:rFonts w:eastAsia="Malgun Gothic"/>
          <w:i/>
          <w:sz w:val="20"/>
          <w:szCs w:val="20"/>
          <w:lang w:eastAsia="ko-KR"/>
        </w:rPr>
        <w:t xml:space="preserve">. </w:t>
      </w:r>
      <w:r w:rsidR="00E22640">
        <w:rPr>
          <w:rFonts w:eastAsia="Malgun Gothic"/>
          <w:sz w:val="20"/>
          <w:szCs w:val="20"/>
          <w:lang w:eastAsia="ko-KR"/>
        </w:rPr>
        <w:t>Hence, in order to reduce the maximum time between packet arrival and transmission we can reduce the lower bound of T</w:t>
      </w:r>
      <w:r w:rsidR="00E22640" w:rsidRPr="00E22640">
        <w:rPr>
          <w:rFonts w:eastAsia="Malgun Gothic"/>
          <w:sz w:val="20"/>
          <w:szCs w:val="20"/>
          <w:vertAlign w:val="subscript"/>
          <w:lang w:eastAsia="ko-KR"/>
        </w:rPr>
        <w:t>2</w:t>
      </w:r>
      <w:r w:rsidR="00E22640" w:rsidRPr="00CC0ED3">
        <w:rPr>
          <w:rFonts w:eastAsia="Malgun Gothic"/>
          <w:sz w:val="20"/>
          <w:szCs w:val="20"/>
          <w:lang w:eastAsia="ko-KR"/>
        </w:rPr>
        <w:t>.</w:t>
      </w:r>
      <w:r w:rsidR="00F770F9">
        <w:rPr>
          <w:rFonts w:eastAsia="Malgun Gothic"/>
          <w:sz w:val="20"/>
          <w:szCs w:val="20"/>
          <w:vertAlign w:val="subscript"/>
          <w:lang w:eastAsia="ko-KR"/>
        </w:rPr>
        <w:t xml:space="preserve"> </w:t>
      </w:r>
      <w:r w:rsidR="00BB21B5">
        <w:rPr>
          <w:rFonts w:eastAsia="Malgun Gothic"/>
          <w:sz w:val="20"/>
          <w:szCs w:val="20"/>
          <w:lang w:eastAsia="ko-KR"/>
        </w:rPr>
        <w:t>Note</w:t>
      </w:r>
      <w:r w:rsidR="00892AD5">
        <w:rPr>
          <w:rFonts w:eastAsia="Malgun Gothic"/>
          <w:sz w:val="20"/>
          <w:szCs w:val="20"/>
          <w:lang w:eastAsia="ko-KR"/>
        </w:rPr>
        <w:t>, however,</w:t>
      </w:r>
      <w:r w:rsidR="00BB21B5">
        <w:rPr>
          <w:rFonts w:eastAsia="Malgun Gothic"/>
          <w:sz w:val="20"/>
          <w:szCs w:val="20"/>
          <w:lang w:eastAsia="ko-KR"/>
        </w:rPr>
        <w:t xml:space="preserve"> t</w:t>
      </w:r>
      <w:r w:rsidR="003519F6">
        <w:rPr>
          <w:rFonts w:eastAsia="Malgun Gothic"/>
          <w:sz w:val="20"/>
          <w:szCs w:val="20"/>
          <w:lang w:eastAsia="ko-KR"/>
        </w:rPr>
        <w:t xml:space="preserve">hat the current values of </w:t>
      </w:r>
      <w:r w:rsidR="003519F6" w:rsidRPr="003519F6">
        <w:rPr>
          <w:rFonts w:eastAsia="Malgun Gothic"/>
          <w:sz w:val="20"/>
          <w:szCs w:val="20"/>
          <w:lang w:eastAsia="ko-KR"/>
        </w:rPr>
        <w:t>T</w:t>
      </w:r>
      <w:r w:rsidR="003519F6" w:rsidRPr="00CC0ED3">
        <w:rPr>
          <w:rFonts w:eastAsia="Malgun Gothic"/>
          <w:sz w:val="20"/>
          <w:szCs w:val="20"/>
          <w:vertAlign w:val="subscript"/>
          <w:lang w:eastAsia="ko-KR"/>
        </w:rPr>
        <w:t>1</w:t>
      </w:r>
      <w:r w:rsidR="003519F6">
        <w:rPr>
          <w:rFonts w:eastAsia="Malgun Gothic"/>
          <w:sz w:val="20"/>
          <w:szCs w:val="20"/>
          <w:lang w:eastAsia="ko-KR"/>
        </w:rPr>
        <w:t xml:space="preserve"> and T</w:t>
      </w:r>
      <w:r w:rsidR="003519F6" w:rsidRPr="00CC0ED3">
        <w:rPr>
          <w:rFonts w:eastAsia="Malgun Gothic"/>
          <w:sz w:val="20"/>
          <w:szCs w:val="20"/>
          <w:vertAlign w:val="subscript"/>
          <w:lang w:eastAsia="ko-KR"/>
        </w:rPr>
        <w:t>2</w:t>
      </w:r>
      <w:r w:rsidR="003519F6">
        <w:rPr>
          <w:rFonts w:eastAsia="Malgun Gothic"/>
          <w:sz w:val="20"/>
          <w:szCs w:val="20"/>
          <w:lang w:eastAsia="ko-KR"/>
        </w:rPr>
        <w:t xml:space="preserve"> were chosen to ensure certain randomization </w:t>
      </w:r>
      <w:r w:rsidR="00892AD5">
        <w:rPr>
          <w:rFonts w:eastAsia="Malgun Gothic"/>
          <w:sz w:val="20"/>
          <w:szCs w:val="20"/>
          <w:lang w:eastAsia="ko-KR"/>
        </w:rPr>
        <w:t>in</w:t>
      </w:r>
      <w:r w:rsidR="00BB21B5">
        <w:rPr>
          <w:rFonts w:eastAsia="Malgun Gothic"/>
          <w:sz w:val="20"/>
          <w:szCs w:val="20"/>
          <w:lang w:eastAsia="ko-KR"/>
        </w:rPr>
        <w:t xml:space="preserve"> the resource selection process and therefore </w:t>
      </w:r>
      <w:r w:rsidR="00892AD5">
        <w:rPr>
          <w:rFonts w:eastAsia="Malgun Gothic"/>
          <w:sz w:val="20"/>
          <w:szCs w:val="20"/>
          <w:lang w:eastAsia="ko-KR"/>
        </w:rPr>
        <w:t>we</w:t>
      </w:r>
      <w:r w:rsidR="00BB21B5">
        <w:rPr>
          <w:rFonts w:eastAsia="Malgun Gothic"/>
          <w:sz w:val="20"/>
          <w:szCs w:val="20"/>
          <w:lang w:eastAsia="ko-KR"/>
        </w:rPr>
        <w:t xml:space="preserve"> </w:t>
      </w:r>
      <w:r w:rsidR="00892AD5">
        <w:rPr>
          <w:rFonts w:eastAsia="Malgun Gothic"/>
          <w:sz w:val="20"/>
          <w:szCs w:val="20"/>
          <w:lang w:eastAsia="ko-KR"/>
        </w:rPr>
        <w:t>should not</w:t>
      </w:r>
      <w:r w:rsidR="003519F6">
        <w:rPr>
          <w:rFonts w:eastAsia="Malgun Gothic"/>
          <w:sz w:val="20"/>
          <w:szCs w:val="20"/>
          <w:lang w:eastAsia="ko-KR"/>
        </w:rPr>
        <w:t xml:space="preserve"> reduce T2 </w:t>
      </w:r>
      <w:r w:rsidR="00892AD5">
        <w:rPr>
          <w:rFonts w:eastAsia="Malgun Gothic"/>
          <w:sz w:val="20"/>
          <w:szCs w:val="20"/>
          <w:lang w:eastAsia="ko-KR"/>
        </w:rPr>
        <w:t>arbitrarily. To this end, w</w:t>
      </w:r>
      <w:r w:rsidR="00F770F9">
        <w:rPr>
          <w:rFonts w:eastAsia="Malgun Gothic"/>
          <w:sz w:val="20"/>
          <w:szCs w:val="20"/>
          <w:lang w:eastAsia="ko-KR"/>
        </w:rPr>
        <w:t xml:space="preserve">e believe that it is beneficial </w:t>
      </w:r>
      <w:r w:rsidR="000F745E">
        <w:rPr>
          <w:rFonts w:eastAsia="Malgun Gothic"/>
          <w:sz w:val="20"/>
          <w:szCs w:val="20"/>
          <w:lang w:eastAsia="ko-KR"/>
        </w:rPr>
        <w:t>to tune the lower bound for T</w:t>
      </w:r>
      <w:r w:rsidR="000F745E" w:rsidRPr="000F745E">
        <w:rPr>
          <w:rFonts w:eastAsia="Malgun Gothic"/>
          <w:sz w:val="20"/>
          <w:szCs w:val="20"/>
          <w:vertAlign w:val="subscript"/>
          <w:lang w:eastAsia="ko-KR"/>
        </w:rPr>
        <w:t>2</w:t>
      </w:r>
      <w:r w:rsidR="000F745E">
        <w:rPr>
          <w:rFonts w:eastAsia="Malgun Gothic"/>
          <w:sz w:val="20"/>
          <w:szCs w:val="20"/>
          <w:lang w:eastAsia="ko-KR"/>
        </w:rPr>
        <w:t xml:space="preserve"> according to the priority of the packet in order to guarantee a fair and efficient </w:t>
      </w:r>
      <w:r w:rsidR="00890AF1">
        <w:rPr>
          <w:rFonts w:eastAsia="Malgun Gothic"/>
          <w:sz w:val="20"/>
          <w:szCs w:val="20"/>
          <w:lang w:eastAsia="ko-KR"/>
        </w:rPr>
        <w:t>share</w:t>
      </w:r>
      <w:r w:rsidR="000F745E">
        <w:rPr>
          <w:rFonts w:eastAsia="Malgun Gothic"/>
          <w:sz w:val="20"/>
          <w:szCs w:val="20"/>
          <w:lang w:eastAsia="ko-KR"/>
        </w:rPr>
        <w:t xml:space="preserve"> of resources among different users.  </w:t>
      </w:r>
    </w:p>
    <w:p w14:paraId="312B7576" w14:textId="77777777" w:rsidR="00746558" w:rsidRPr="003810E1" w:rsidRDefault="00746558" w:rsidP="00746558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Observation:</w:t>
      </w:r>
    </w:p>
    <w:p w14:paraId="6B45F1BA" w14:textId="49351672" w:rsidR="00746558" w:rsidRDefault="00E22640" w:rsidP="00E22640">
      <w:pPr>
        <w:pStyle w:val="BodyText"/>
        <w:numPr>
          <w:ilvl w:val="0"/>
          <w:numId w:val="17"/>
        </w:numPr>
        <w:spacing w:before="240"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Maximum time between packet arrival at the layer 1 and resource selected for transmission is controlled by parameter T</w:t>
      </w:r>
      <w:r w:rsidRPr="00E22640">
        <w:rPr>
          <w:b/>
          <w:i/>
          <w:sz w:val="20"/>
          <w:szCs w:val="20"/>
          <w:vertAlign w:val="subscript"/>
        </w:rPr>
        <w:t>2</w:t>
      </w:r>
      <w:r>
        <w:rPr>
          <w:b/>
          <w:i/>
          <w:sz w:val="20"/>
          <w:szCs w:val="20"/>
        </w:rPr>
        <w:t xml:space="preserve"> in the resource search window [T</w:t>
      </w:r>
      <w:r w:rsidRPr="00E22640">
        <w:rPr>
          <w:b/>
          <w:i/>
          <w:sz w:val="20"/>
          <w:szCs w:val="20"/>
          <w:vertAlign w:val="subscript"/>
        </w:rPr>
        <w:t>1</w:t>
      </w:r>
      <w:r>
        <w:rPr>
          <w:b/>
          <w:i/>
          <w:sz w:val="20"/>
          <w:szCs w:val="20"/>
        </w:rPr>
        <w:t>, T</w:t>
      </w:r>
      <w:r w:rsidRPr="00E22640">
        <w:rPr>
          <w:b/>
          <w:i/>
          <w:sz w:val="20"/>
          <w:szCs w:val="20"/>
          <w:vertAlign w:val="subscript"/>
        </w:rPr>
        <w:t>2</w:t>
      </w:r>
      <w:r>
        <w:rPr>
          <w:b/>
          <w:i/>
          <w:sz w:val="20"/>
          <w:szCs w:val="20"/>
        </w:rPr>
        <w:t>].</w:t>
      </w:r>
    </w:p>
    <w:p w14:paraId="14AAEDDB" w14:textId="35C0F706" w:rsidR="00F770F9" w:rsidRPr="00746558" w:rsidRDefault="00F770F9" w:rsidP="00F770F9">
      <w:pPr>
        <w:pStyle w:val="BodyText"/>
        <w:numPr>
          <w:ilvl w:val="1"/>
          <w:numId w:val="17"/>
        </w:numPr>
        <w:spacing w:before="240"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For Rel-14  </w:t>
      </w:r>
      <w:r w:rsidRPr="00975DB8">
        <w:rPr>
          <w:i/>
          <w:noProof/>
          <w:position w:val="-10"/>
          <w:sz w:val="20"/>
          <w:szCs w:val="20"/>
        </w:rPr>
        <w:drawing>
          <wp:inline distT="0" distB="0" distL="0" distR="0" wp14:anchorId="008EAD93" wp14:editId="79AC70E4">
            <wp:extent cx="839470" cy="2184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6E649" w14:textId="77777777" w:rsidR="00890AF1" w:rsidRDefault="00890AF1" w:rsidP="003810E1">
      <w:pPr>
        <w:pStyle w:val="BodyText"/>
        <w:spacing w:after="240"/>
        <w:jc w:val="both"/>
        <w:rPr>
          <w:b/>
          <w:i/>
          <w:sz w:val="20"/>
          <w:szCs w:val="20"/>
        </w:rPr>
      </w:pPr>
    </w:p>
    <w:p w14:paraId="1D2B9A92" w14:textId="1515EB77" w:rsidR="00A30D83" w:rsidRPr="003810E1" w:rsidRDefault="00A30D83" w:rsidP="003810E1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3810E1">
        <w:rPr>
          <w:b/>
          <w:i/>
          <w:sz w:val="20"/>
          <w:szCs w:val="20"/>
        </w:rPr>
        <w:t xml:space="preserve">Proposal: </w:t>
      </w:r>
    </w:p>
    <w:p w14:paraId="4067D704" w14:textId="0039EC91" w:rsidR="00A30D83" w:rsidRDefault="0018104A" w:rsidP="003810E1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Reduce </w:t>
      </w:r>
      <w:r w:rsidR="00E22640">
        <w:rPr>
          <w:b/>
          <w:i/>
          <w:sz w:val="20"/>
          <w:szCs w:val="20"/>
        </w:rPr>
        <w:t xml:space="preserve">the lower bound of parameter </w:t>
      </w:r>
      <w:r>
        <w:rPr>
          <w:b/>
          <w:i/>
          <w:sz w:val="20"/>
          <w:szCs w:val="20"/>
        </w:rPr>
        <w:t>T</w:t>
      </w:r>
      <w:r w:rsidRPr="00E22640">
        <w:rPr>
          <w:b/>
          <w:i/>
          <w:sz w:val="20"/>
          <w:szCs w:val="20"/>
          <w:vertAlign w:val="subscript"/>
        </w:rPr>
        <w:t>2</w:t>
      </w:r>
      <w:r w:rsidR="00E22640">
        <w:rPr>
          <w:b/>
          <w:i/>
          <w:sz w:val="20"/>
          <w:szCs w:val="20"/>
        </w:rPr>
        <w:t xml:space="preserve"> </w:t>
      </w:r>
    </w:p>
    <w:p w14:paraId="42B63F71" w14:textId="48BD0004" w:rsidR="0018104A" w:rsidRPr="00746558" w:rsidRDefault="00B53D22" w:rsidP="00F770F9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≤100 </m:t>
        </m:r>
      </m:oMath>
      <w:r w:rsidR="00F770F9">
        <w:rPr>
          <w:b/>
          <w:i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="00C106C9">
        <w:rPr>
          <w:b/>
          <w:i/>
          <w:sz w:val="20"/>
          <w:szCs w:val="20"/>
        </w:rPr>
        <w:t xml:space="preserve">(value FFS) </w:t>
      </w:r>
      <w:r w:rsidR="0018104A">
        <w:rPr>
          <w:b/>
          <w:i/>
          <w:sz w:val="20"/>
          <w:szCs w:val="20"/>
        </w:rPr>
        <w:t>is a function of packet’s PPPP and</w:t>
      </w:r>
      <w:r w:rsidR="006E16C8">
        <w:rPr>
          <w:b/>
          <w:i/>
          <w:sz w:val="20"/>
          <w:szCs w:val="20"/>
        </w:rPr>
        <w:t xml:space="preserve"> </w:t>
      </w:r>
      <w:r w:rsidR="00225128">
        <w:rPr>
          <w:b/>
          <w:i/>
          <w:sz w:val="20"/>
          <w:szCs w:val="20"/>
        </w:rPr>
        <w:t>satisfies</w:t>
      </w:r>
      <w:r w:rsidR="0018104A">
        <w:rPr>
          <w:b/>
          <w:i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≤20</m:t>
        </m:r>
      </m:oMath>
      <w:r w:rsidR="00C106C9">
        <w:rPr>
          <w:b/>
          <w:i/>
          <w:sz w:val="20"/>
          <w:szCs w:val="20"/>
        </w:rPr>
        <w:t>.</w:t>
      </w:r>
    </w:p>
    <w:p w14:paraId="3C4455C8" w14:textId="0EED3EE3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249BA244" w14:textId="00733F23" w:rsidR="00706C19" w:rsidRDefault="00706C1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3810E1">
        <w:rPr>
          <w:spacing w:val="2"/>
          <w:sz w:val="20"/>
          <w:szCs w:val="20"/>
        </w:rPr>
        <w:t xml:space="preserve">In this contribution we discuss </w:t>
      </w:r>
      <w:r w:rsidR="00D27922" w:rsidRPr="003810E1">
        <w:rPr>
          <w:spacing w:val="2"/>
          <w:sz w:val="20"/>
          <w:szCs w:val="20"/>
        </w:rPr>
        <w:t xml:space="preserve">the </w:t>
      </w:r>
      <w:r w:rsidR="000F745E">
        <w:rPr>
          <w:spacing w:val="2"/>
          <w:sz w:val="20"/>
          <w:szCs w:val="20"/>
        </w:rPr>
        <w:t>method to reduce maximum time between packet arrival at Layer 1 and resource selected for V2X transmission</w:t>
      </w:r>
      <w:r w:rsidRPr="003810E1">
        <w:rPr>
          <w:spacing w:val="2"/>
          <w:sz w:val="20"/>
          <w:szCs w:val="20"/>
        </w:rPr>
        <w:t xml:space="preserve">. </w:t>
      </w:r>
    </w:p>
    <w:p w14:paraId="78CA7BC1" w14:textId="77777777" w:rsidR="00686DA9" w:rsidRPr="003810E1" w:rsidRDefault="00686DA9" w:rsidP="00686DA9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Observation:</w:t>
      </w:r>
    </w:p>
    <w:p w14:paraId="0AFA982C" w14:textId="77777777" w:rsidR="00686DA9" w:rsidRDefault="00686DA9" w:rsidP="00686DA9">
      <w:pPr>
        <w:pStyle w:val="BodyText"/>
        <w:numPr>
          <w:ilvl w:val="0"/>
          <w:numId w:val="17"/>
        </w:numPr>
        <w:spacing w:before="240"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Maximum time between packet arrival at the layer 1 and resource selected for transmission is controlled by parameter T</w:t>
      </w:r>
      <w:r w:rsidRPr="00E22640">
        <w:rPr>
          <w:b/>
          <w:i/>
          <w:sz w:val="20"/>
          <w:szCs w:val="20"/>
          <w:vertAlign w:val="subscript"/>
        </w:rPr>
        <w:t>2</w:t>
      </w:r>
      <w:r>
        <w:rPr>
          <w:b/>
          <w:i/>
          <w:sz w:val="20"/>
          <w:szCs w:val="20"/>
        </w:rPr>
        <w:t xml:space="preserve"> in the resource search window [T</w:t>
      </w:r>
      <w:r w:rsidRPr="00E22640">
        <w:rPr>
          <w:b/>
          <w:i/>
          <w:sz w:val="20"/>
          <w:szCs w:val="20"/>
          <w:vertAlign w:val="subscript"/>
        </w:rPr>
        <w:t>1</w:t>
      </w:r>
      <w:r>
        <w:rPr>
          <w:b/>
          <w:i/>
          <w:sz w:val="20"/>
          <w:szCs w:val="20"/>
        </w:rPr>
        <w:t>, T</w:t>
      </w:r>
      <w:r w:rsidRPr="00E22640">
        <w:rPr>
          <w:b/>
          <w:i/>
          <w:sz w:val="20"/>
          <w:szCs w:val="20"/>
          <w:vertAlign w:val="subscript"/>
        </w:rPr>
        <w:t>2</w:t>
      </w:r>
      <w:r>
        <w:rPr>
          <w:b/>
          <w:i/>
          <w:sz w:val="20"/>
          <w:szCs w:val="20"/>
        </w:rPr>
        <w:t>].</w:t>
      </w:r>
    </w:p>
    <w:p w14:paraId="4AAC899B" w14:textId="77777777" w:rsidR="00686DA9" w:rsidRPr="00746558" w:rsidRDefault="00686DA9" w:rsidP="00686DA9">
      <w:pPr>
        <w:pStyle w:val="BodyText"/>
        <w:numPr>
          <w:ilvl w:val="1"/>
          <w:numId w:val="17"/>
        </w:numPr>
        <w:spacing w:before="240"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For Rel-14  </w:t>
      </w:r>
      <w:r w:rsidRPr="00975DB8">
        <w:rPr>
          <w:i/>
          <w:noProof/>
          <w:position w:val="-10"/>
          <w:sz w:val="20"/>
          <w:szCs w:val="20"/>
        </w:rPr>
        <w:drawing>
          <wp:inline distT="0" distB="0" distL="0" distR="0" wp14:anchorId="3091BF94" wp14:editId="626F6270">
            <wp:extent cx="839470" cy="2184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DCD8F" w14:textId="77777777" w:rsidR="00686DA9" w:rsidRPr="003810E1" w:rsidRDefault="00686DA9" w:rsidP="00686DA9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3810E1">
        <w:rPr>
          <w:b/>
          <w:i/>
          <w:sz w:val="20"/>
          <w:szCs w:val="20"/>
        </w:rPr>
        <w:t xml:space="preserve">Proposal: </w:t>
      </w:r>
    </w:p>
    <w:p w14:paraId="02F3AD89" w14:textId="77777777" w:rsidR="00686DA9" w:rsidRDefault="00686DA9" w:rsidP="00686DA9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Reduce the lower bound of parameter T</w:t>
      </w:r>
      <w:r w:rsidRPr="00E22640">
        <w:rPr>
          <w:b/>
          <w:i/>
          <w:sz w:val="20"/>
          <w:szCs w:val="20"/>
          <w:vertAlign w:val="subscript"/>
        </w:rPr>
        <w:t>2</w:t>
      </w:r>
      <w:r>
        <w:rPr>
          <w:b/>
          <w:i/>
          <w:sz w:val="20"/>
          <w:szCs w:val="20"/>
        </w:rPr>
        <w:t xml:space="preserve"> </w:t>
      </w:r>
    </w:p>
    <w:p w14:paraId="5955184A" w14:textId="77777777" w:rsidR="00686DA9" w:rsidRPr="00746558" w:rsidRDefault="00B53D22" w:rsidP="00686DA9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≤100 </m:t>
        </m:r>
      </m:oMath>
      <w:r w:rsidR="00686DA9">
        <w:rPr>
          <w:b/>
          <w:i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="00686DA9">
        <w:rPr>
          <w:b/>
          <w:i/>
          <w:sz w:val="20"/>
          <w:szCs w:val="20"/>
        </w:rPr>
        <w:t xml:space="preserve">(value FFS) is a function of packet’s PPPP and satisfies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≤20</m:t>
        </m:r>
      </m:oMath>
      <w:r w:rsidR="00686DA9">
        <w:rPr>
          <w:b/>
          <w:i/>
          <w:sz w:val="20"/>
          <w:szCs w:val="20"/>
        </w:rPr>
        <w:t>.</w:t>
      </w:r>
    </w:p>
    <w:p w14:paraId="5036C165" w14:textId="77777777" w:rsidR="00706C19" w:rsidRPr="00DA1475" w:rsidRDefault="00706C19" w:rsidP="00706C19">
      <w:pPr>
        <w:pStyle w:val="Heading1"/>
      </w:pPr>
      <w:r w:rsidRPr="00DA1475">
        <w:t>Reference</w:t>
      </w:r>
    </w:p>
    <w:p w14:paraId="25661003" w14:textId="7C2242F9" w:rsidR="0034705A" w:rsidRPr="00C844BE" w:rsidRDefault="0034705A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4" w:name="_Ref477334356"/>
      <w:bookmarkStart w:id="5" w:name="_Ref462922309"/>
      <w:bookmarkStart w:id="6" w:name="_Ref450915949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RP-170798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New WID on 3GPP V2X Phase 2</w:t>
      </w:r>
      <w:bookmarkEnd w:id="4"/>
    </w:p>
    <w:p w14:paraId="4D29057A" w14:textId="1E773036" w:rsidR="00686DA9" w:rsidRPr="00C844BE" w:rsidRDefault="00081CD2" w:rsidP="00686DA9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7" w:name="_Ref477897189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R1-1705784</w:t>
      </w:r>
      <w:r w:rsidR="00686DA9"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On carrier aggregation on PC5</w:t>
      </w:r>
      <w:r w:rsidR="00686DA9"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="00686DA9"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Ericsson</w:t>
      </w:r>
      <w:bookmarkEnd w:id="7"/>
    </w:p>
    <w:p w14:paraId="2FDD8FE4" w14:textId="44263DF9" w:rsidR="00686DA9" w:rsidRPr="00C844BE" w:rsidRDefault="00081CD2" w:rsidP="00686DA9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8" w:name="_Ref477897195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R1-1705780</w:t>
      </w:r>
      <w:r w:rsidR="00686DA9"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On 64QAM modulation operation for Sidelink Communications</w:t>
      </w:r>
      <w:r w:rsidR="00686DA9"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="00686DA9"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Ericsson</w:t>
      </w:r>
      <w:bookmarkEnd w:id="8"/>
    </w:p>
    <w:p w14:paraId="49703634" w14:textId="21CE8F85" w:rsidR="00686DA9" w:rsidRPr="00C844BE" w:rsidRDefault="00081CD2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9" w:name="_Ref477897203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R1-1705782</w:t>
      </w:r>
      <w:r w:rsidR="00686DA9"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  <w:r w:rsidR="00686DA9"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Radio resource pool sharing between mode 3 and mode 4 UEs</w:t>
      </w:r>
      <w:r w:rsidR="00686DA9"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="00686DA9"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Ericsson</w:t>
      </w:r>
      <w:bookmarkEnd w:id="9"/>
    </w:p>
    <w:p w14:paraId="249B18C3" w14:textId="18E0AA7A" w:rsidR="0034705A" w:rsidRPr="00C844BE" w:rsidRDefault="0034705A" w:rsidP="00082BCD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0" w:name="_Ref477334379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TS 36.213 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3rd Generation Partnership Project; Technical Specification Group Radio Access Network; Evolved Universal Terrestrial Radio Access (E-UTRA); Physical layer procedures (Release 14)</w:t>
      </w:r>
      <w:bookmarkEnd w:id="10"/>
    </w:p>
    <w:bookmarkEnd w:id="5"/>
    <w:bookmarkEnd w:id="6"/>
    <w:p w14:paraId="5FA6188E" w14:textId="255503FC" w:rsidR="00706C19" w:rsidRPr="006D773B" w:rsidRDefault="00706C19" w:rsidP="00B40CA6">
      <w:pPr>
        <w:pStyle w:val="ListParagraph"/>
        <w:ind w:left="567"/>
        <w:rPr>
          <w:rFonts w:ascii="Times New Roman" w:hAnsi="Times New Roman" w:cs="Times New Roman"/>
          <w:sz w:val="20"/>
          <w:szCs w:val="20"/>
        </w:rPr>
      </w:pPr>
    </w:p>
    <w:p w14:paraId="2A005839" w14:textId="14FF833F" w:rsidR="00420D28" w:rsidRPr="00CC0ED3" w:rsidRDefault="00420D28" w:rsidP="003810E1">
      <w:pPr>
        <w:rPr>
          <w:lang w:val="en-US"/>
        </w:rPr>
      </w:pPr>
    </w:p>
    <w:sectPr w:rsidR="00420D28" w:rsidRPr="00CC0ED3" w:rsidSect="004B319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EBFB0" w14:textId="77777777" w:rsidR="00B53D22" w:rsidRDefault="00B53D22">
      <w:r>
        <w:separator/>
      </w:r>
    </w:p>
  </w:endnote>
  <w:endnote w:type="continuationSeparator" w:id="0">
    <w:p w14:paraId="0C855E74" w14:textId="77777777" w:rsidR="00B53D22" w:rsidRDefault="00B5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99390" w14:textId="77777777" w:rsidR="00B01DA7" w:rsidRDefault="00B01D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4726A" w14:textId="77777777" w:rsidR="00B01DA7" w:rsidRDefault="00B01D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5F4BE" w14:textId="77777777" w:rsidR="00B01DA7" w:rsidRDefault="00B01D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2333DA" w14:textId="77777777" w:rsidR="00B53D22" w:rsidRDefault="00B53D22">
      <w:r>
        <w:separator/>
      </w:r>
    </w:p>
  </w:footnote>
  <w:footnote w:type="continuationSeparator" w:id="0">
    <w:p w14:paraId="1FBB6C40" w14:textId="77777777" w:rsidR="00B53D22" w:rsidRDefault="00B5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5D29D" w14:textId="77777777" w:rsidR="00B01DA7" w:rsidRDefault="00B01D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1F873" w14:textId="77777777" w:rsidR="00B01DA7" w:rsidRDefault="00B01D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AFF52" w14:textId="77777777" w:rsidR="00B01DA7" w:rsidRDefault="00B01D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8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7"/>
  </w:num>
  <w:num w:numId="2">
    <w:abstractNumId w:val="26"/>
  </w:num>
  <w:num w:numId="3">
    <w:abstractNumId w:val="23"/>
  </w:num>
  <w:num w:numId="4">
    <w:abstractNumId w:val="12"/>
  </w:num>
  <w:num w:numId="5">
    <w:abstractNumId w:val="15"/>
  </w:num>
  <w:num w:numId="6">
    <w:abstractNumId w:val="27"/>
  </w:num>
  <w:num w:numId="7">
    <w:abstractNumId w:val="2"/>
  </w:num>
  <w:num w:numId="8">
    <w:abstractNumId w:val="20"/>
  </w:num>
  <w:num w:numId="9">
    <w:abstractNumId w:val="11"/>
  </w:num>
  <w:num w:numId="10">
    <w:abstractNumId w:val="16"/>
  </w:num>
  <w:num w:numId="11">
    <w:abstractNumId w:val="28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22"/>
  </w:num>
  <w:num w:numId="17">
    <w:abstractNumId w:val="21"/>
  </w:num>
  <w:num w:numId="18">
    <w:abstractNumId w:val="4"/>
  </w:num>
  <w:num w:numId="19">
    <w:abstractNumId w:val="7"/>
  </w:num>
  <w:num w:numId="20">
    <w:abstractNumId w:val="24"/>
  </w:num>
  <w:num w:numId="21">
    <w:abstractNumId w:val="6"/>
  </w:num>
  <w:num w:numId="22">
    <w:abstractNumId w:val="8"/>
  </w:num>
  <w:num w:numId="23">
    <w:abstractNumId w:val="13"/>
  </w:num>
  <w:num w:numId="24">
    <w:abstractNumId w:val="3"/>
  </w:num>
  <w:num w:numId="25">
    <w:abstractNumId w:val="5"/>
  </w:num>
  <w:num w:numId="26">
    <w:abstractNumId w:val="9"/>
  </w:num>
  <w:num w:numId="27">
    <w:abstractNumId w:val="14"/>
  </w:num>
  <w:num w:numId="28">
    <w:abstractNumId w:val="1"/>
  </w:num>
  <w:num w:numId="29">
    <w:abstractNumId w:val="19"/>
  </w:num>
  <w:num w:numId="30">
    <w:abstractNumId w:val="18"/>
  </w:num>
  <w:num w:numId="31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5EF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1CD2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45E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0AC8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4A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6F2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128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5EC7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05A"/>
    <w:rsid w:val="003473BE"/>
    <w:rsid w:val="00347456"/>
    <w:rsid w:val="0035060D"/>
    <w:rsid w:val="00350718"/>
    <w:rsid w:val="00350901"/>
    <w:rsid w:val="00350B22"/>
    <w:rsid w:val="00350EBC"/>
    <w:rsid w:val="003515AC"/>
    <w:rsid w:val="003519F6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803"/>
    <w:rsid w:val="005D3DCE"/>
    <w:rsid w:val="005D3EAB"/>
    <w:rsid w:val="005D3F00"/>
    <w:rsid w:val="005D3F2D"/>
    <w:rsid w:val="005D4BAA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49F9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DA9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C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946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AF1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AD5"/>
    <w:rsid w:val="00892DA0"/>
    <w:rsid w:val="00893138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DB8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AF7C87"/>
    <w:rsid w:val="00B00521"/>
    <w:rsid w:val="00B0088E"/>
    <w:rsid w:val="00B00C33"/>
    <w:rsid w:val="00B011C5"/>
    <w:rsid w:val="00B01414"/>
    <w:rsid w:val="00B0163E"/>
    <w:rsid w:val="00B017E4"/>
    <w:rsid w:val="00B019A3"/>
    <w:rsid w:val="00B01DA7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D7B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7C9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22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EFE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21B5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6C9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399"/>
    <w:rsid w:val="00C83624"/>
    <w:rsid w:val="00C836D3"/>
    <w:rsid w:val="00C8370E"/>
    <w:rsid w:val="00C83CEA"/>
    <w:rsid w:val="00C844BE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0ED3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4E1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2EC"/>
    <w:rsid w:val="00D70511"/>
    <w:rsid w:val="00D715D6"/>
    <w:rsid w:val="00D715E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640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046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613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0F9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F770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2017-03-24T17:21:00Z</dcterms:created>
  <dcterms:modified xsi:type="dcterms:W3CDTF">2017-03-24T17:21:00Z</dcterms:modified>
</cp:coreProperties>
</file>